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b w:val="1"/>
          <w:rtl w:val="0"/>
        </w:rPr>
        <w:t xml:space="preserve">Chart A – Multiple Choice/Constructed Responses Assessments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Blueprinting to the Standards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szCs w:val="22"/>
          <w:rtl w:val="0"/>
        </w:rPr>
        <w:t xml:space="preserve">These charts help answer the following questions: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Do you have enough assessment items to fully assess a standard?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Are your standards being assessed with the same value/weight? Do they need to be?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43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45"/>
        <w:gridCol w:w="540"/>
        <w:gridCol w:w="540"/>
        <w:gridCol w:w="540"/>
        <w:gridCol w:w="540"/>
        <w:gridCol w:w="540"/>
        <w:gridCol w:w="540"/>
        <w:gridCol w:w="535"/>
        <w:gridCol w:w="535"/>
        <w:gridCol w:w="536"/>
        <w:gridCol w:w="14"/>
        <w:gridCol w:w="620"/>
        <w:gridCol w:w="642"/>
        <w:gridCol w:w="643"/>
        <w:gridCol w:w="1320"/>
        <w:gridCol w:w="1350"/>
        <w:tblGridChange w:id="0">
          <w:tblGrid>
            <w:gridCol w:w="4945"/>
            <w:gridCol w:w="540"/>
            <w:gridCol w:w="540"/>
            <w:gridCol w:w="540"/>
            <w:gridCol w:w="540"/>
            <w:gridCol w:w="540"/>
            <w:gridCol w:w="540"/>
            <w:gridCol w:w="535"/>
            <w:gridCol w:w="535"/>
            <w:gridCol w:w="536"/>
            <w:gridCol w:w="14"/>
            <w:gridCol w:w="620"/>
            <w:gridCol w:w="642"/>
            <w:gridCol w:w="643"/>
            <w:gridCol w:w="1320"/>
            <w:gridCol w:w="135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What are the Standards you are Assessing?</w:t>
            </w:r>
          </w:p>
        </w:tc>
        <w:tc>
          <w:tcPr>
            <w:gridSpan w:val="9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How many Assessment Items of this Type Address the Standard?</w:t>
            </w:r>
          </w:p>
        </w:tc>
        <w:tc>
          <w:tcPr>
            <w:gridSpan w:val="4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How many points are available for each standard being assessed?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Total # of Items for that Standard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Total # of Points for that Standard</w:t>
            </w:r>
          </w:p>
        </w:tc>
      </w:tr>
      <w:tr>
        <w:trPr>
          <w:trHeight w:val="640" w:hRule="atLeast"/>
        </w:trPr>
        <w:tc>
          <w:tcPr>
            <w:vMerge w:val="restart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Content Standard Number and Descriptor Being Assessed</w:t>
            </w:r>
          </w:p>
        </w:tc>
        <w:tc>
          <w:tcPr>
            <w:gridSpan w:val="3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Multiple Choice</w:t>
            </w:r>
          </w:p>
        </w:tc>
        <w:tc>
          <w:tcPr>
            <w:gridSpan w:val="3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Short Constructed Response </w:t>
            </w:r>
          </w:p>
        </w:tc>
        <w:tc>
          <w:tcPr>
            <w:gridSpan w:val="4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Extended Constructed Response </w:t>
            </w:r>
          </w:p>
        </w:tc>
        <w:tc>
          <w:tcPr>
            <w:vMerge w:val="restart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 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Pt. MC</w:t>
            </w:r>
          </w:p>
        </w:tc>
        <w:tc>
          <w:tcPr>
            <w:vMerge w:val="restart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 Pts.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SCR</w:t>
            </w:r>
          </w:p>
        </w:tc>
        <w:tc>
          <w:tcPr>
            <w:vMerge w:val="restart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 Pts.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ECR</w:t>
            </w:r>
          </w:p>
        </w:tc>
        <w:tc>
          <w:tcPr>
            <w:vMerge w:val="restart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continue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DOK 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DOK2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DOK3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DOK 1</w:t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52"/>
              </w:tabs>
              <w:ind w:left="-18" w:right="-108" w:firstLine="0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DOK </w:t>
            </w:r>
          </w:p>
          <w:p w:rsidR="00000000" w:rsidDel="00000000" w:rsidP="00000000" w:rsidRDefault="00000000" w:rsidRPr="00000000">
            <w:pPr>
              <w:tabs>
                <w:tab w:val="left" w:pos="252"/>
              </w:tabs>
              <w:ind w:left="-18" w:right="-108" w:firstLine="0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DOK3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DOK 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DOK2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DOK3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Totals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Good Rule of Thumb</w:t>
      </w:r>
      <w:r w:rsidDel="00000000" w:rsidR="00000000" w:rsidRPr="00000000">
        <w:rPr>
          <w:rtl w:val="0"/>
        </w:rPr>
        <w:t xml:space="preserve">: DOK 1 should be around 23% of the assessment and DOK 2 and 3 should combine for the remaining 77%.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2240" w:w="158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al"/>
  <w:font w:name="Calibri">
    <w:embedRegular r:id="rId1" w:subsetted="0"/>
    <w:embedBold r:id="rId2" w:subsetted="0"/>
    <w:embedItalic r:id="rId3" w:subsetted="0"/>
    <w:embedBoldItalic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libri-regular.ttf"/><Relationship Id="rId2" Type="http://schemas.openxmlformats.org/officeDocument/2006/relationships/font" Target="fonts/Calibri-bold.ttf"/><Relationship Id="rId3" Type="http://schemas.openxmlformats.org/officeDocument/2006/relationships/font" Target="fonts/Calibri-italic.ttf"/><Relationship Id="rId4" Type="http://schemas.openxmlformats.org/officeDocument/2006/relationships/font" Target="fonts/Calibri-boldItalic.ttf"/></Relationships>
</file>